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A2CDC" w:rsidRDefault="006A2CDC" w:rsidP="00533E2A">
      <w:pPr>
        <w:spacing w:line="480" w:lineRule="auto"/>
        <w:jc w:val="center"/>
        <w:rPr>
          <w:rFonts w:cs="Times New Roman"/>
        </w:rPr>
      </w:pPr>
    </w:p>
    <w:p w:rsidR="006A2CDC" w:rsidRDefault="006A2CDC" w:rsidP="00533E2A">
      <w:pPr>
        <w:spacing w:line="480" w:lineRule="auto"/>
        <w:jc w:val="center"/>
        <w:rPr>
          <w:rFonts w:cs="Times New Roman"/>
        </w:rPr>
      </w:pPr>
    </w:p>
    <w:p w:rsidR="006A2CDC" w:rsidRDefault="006A2CDC" w:rsidP="00533E2A">
      <w:pPr>
        <w:spacing w:line="480" w:lineRule="auto"/>
        <w:jc w:val="center"/>
        <w:rPr>
          <w:rFonts w:cs="Times New Roman"/>
        </w:rPr>
      </w:pPr>
    </w:p>
    <w:p w:rsidR="006A2CDC" w:rsidRDefault="006A2CDC" w:rsidP="00533E2A">
      <w:pPr>
        <w:spacing w:line="480" w:lineRule="auto"/>
        <w:jc w:val="center"/>
        <w:rPr>
          <w:rFonts w:cs="Times New Roman"/>
        </w:rPr>
      </w:pPr>
    </w:p>
    <w:p w:rsidR="006A2CDC" w:rsidRDefault="006A2CDC" w:rsidP="00533E2A">
      <w:pPr>
        <w:spacing w:line="480" w:lineRule="auto"/>
        <w:jc w:val="center"/>
        <w:rPr>
          <w:rFonts w:cs="Times New Roman"/>
        </w:rPr>
      </w:pPr>
    </w:p>
    <w:p w:rsidR="002F7403" w:rsidRDefault="002F7403" w:rsidP="00533E2A">
      <w:pPr>
        <w:spacing w:line="480" w:lineRule="auto"/>
        <w:jc w:val="center"/>
        <w:rPr>
          <w:rFonts w:cs="Times New Roman"/>
        </w:rPr>
      </w:pPr>
      <w:r>
        <w:rPr>
          <w:rFonts w:cs="Times New Roman"/>
        </w:rPr>
        <w:t>Gender and Sexual Assault</w:t>
      </w:r>
    </w:p>
    <w:p w:rsidR="002F7403" w:rsidRDefault="002F7403" w:rsidP="00533E2A">
      <w:pPr>
        <w:spacing w:line="480" w:lineRule="auto"/>
        <w:jc w:val="center"/>
        <w:rPr>
          <w:rFonts w:cs="Times New Roman"/>
        </w:rPr>
      </w:pPr>
      <w:r>
        <w:rPr>
          <w:rFonts w:cs="Times New Roman"/>
        </w:rPr>
        <w:t>Name</w:t>
      </w:r>
    </w:p>
    <w:p w:rsidR="002F7403" w:rsidRDefault="002F7403" w:rsidP="00533E2A">
      <w:pPr>
        <w:spacing w:line="480" w:lineRule="auto"/>
        <w:jc w:val="center"/>
        <w:rPr>
          <w:rFonts w:cs="Times New Roman"/>
        </w:rPr>
      </w:pPr>
      <w:r>
        <w:rPr>
          <w:rFonts w:cs="Times New Roman"/>
        </w:rPr>
        <w:t>Institution</w:t>
      </w:r>
    </w:p>
    <w:p w:rsidR="002F7403" w:rsidRDefault="002F7403" w:rsidP="00533E2A">
      <w:pPr>
        <w:spacing w:line="480" w:lineRule="auto"/>
        <w:jc w:val="center"/>
        <w:rPr>
          <w:rFonts w:cs="Times New Roman"/>
        </w:rPr>
      </w:pPr>
      <w:r>
        <w:rPr>
          <w:rFonts w:cs="Times New Roman"/>
        </w:rPr>
        <w:t>Date</w:t>
      </w:r>
    </w:p>
    <w:p w:rsidR="006A2CDC" w:rsidRDefault="006A2CDC" w:rsidP="00533E2A">
      <w:pPr>
        <w:spacing w:line="480" w:lineRule="auto"/>
        <w:jc w:val="center"/>
        <w:rPr>
          <w:rFonts w:cs="Times New Roman"/>
        </w:rPr>
      </w:pPr>
    </w:p>
    <w:p w:rsidR="006A2CDC" w:rsidRDefault="006A2CDC" w:rsidP="00533E2A">
      <w:pPr>
        <w:spacing w:line="480" w:lineRule="auto"/>
        <w:jc w:val="center"/>
        <w:rPr>
          <w:rFonts w:cs="Times New Roman"/>
        </w:rPr>
      </w:pPr>
    </w:p>
    <w:p w:rsidR="006A2CDC" w:rsidRDefault="006A2CDC" w:rsidP="00533E2A">
      <w:pPr>
        <w:spacing w:line="480" w:lineRule="auto"/>
        <w:jc w:val="center"/>
        <w:rPr>
          <w:rFonts w:cs="Times New Roman"/>
        </w:rPr>
      </w:pPr>
    </w:p>
    <w:p w:rsidR="006A2CDC" w:rsidRDefault="006A2CDC" w:rsidP="00533E2A">
      <w:pPr>
        <w:spacing w:line="480" w:lineRule="auto"/>
        <w:jc w:val="center"/>
        <w:rPr>
          <w:rFonts w:cs="Times New Roman"/>
        </w:rPr>
      </w:pPr>
    </w:p>
    <w:p w:rsidR="006A2CDC" w:rsidRDefault="006A2CDC" w:rsidP="00533E2A">
      <w:pPr>
        <w:spacing w:line="480" w:lineRule="auto"/>
        <w:jc w:val="center"/>
        <w:rPr>
          <w:rFonts w:cs="Times New Roman"/>
        </w:rPr>
      </w:pPr>
    </w:p>
    <w:p w:rsidR="006A2CDC" w:rsidRDefault="006A2CDC" w:rsidP="00533E2A">
      <w:pPr>
        <w:spacing w:line="480" w:lineRule="auto"/>
        <w:jc w:val="center"/>
        <w:rPr>
          <w:rFonts w:cs="Times New Roman"/>
        </w:rPr>
      </w:pPr>
    </w:p>
    <w:p w:rsidR="006A2CDC" w:rsidRDefault="006A2CDC" w:rsidP="00533E2A">
      <w:pPr>
        <w:spacing w:line="480" w:lineRule="auto"/>
        <w:jc w:val="center"/>
        <w:rPr>
          <w:rFonts w:cs="Times New Roman"/>
        </w:rPr>
      </w:pPr>
    </w:p>
    <w:p w:rsidR="006A2CDC" w:rsidRDefault="006A2CDC" w:rsidP="00533E2A">
      <w:pPr>
        <w:spacing w:line="480" w:lineRule="auto"/>
        <w:jc w:val="center"/>
        <w:rPr>
          <w:rFonts w:cs="Times New Roman"/>
        </w:rPr>
      </w:pPr>
    </w:p>
    <w:p w:rsidR="002F7403" w:rsidRDefault="00653E6A" w:rsidP="00533E2A">
      <w:pPr>
        <w:spacing w:line="480" w:lineRule="auto"/>
        <w:jc w:val="center"/>
        <w:rPr>
          <w:rFonts w:cs="Times New Roman"/>
        </w:rPr>
      </w:pPr>
      <w:r>
        <w:rPr>
          <w:rFonts w:cs="Times New Roman"/>
        </w:rPr>
        <w:lastRenderedPageBreak/>
        <w:t>Gender and S</w:t>
      </w:r>
      <w:r w:rsidR="002F7403">
        <w:rPr>
          <w:rFonts w:cs="Times New Roman"/>
        </w:rPr>
        <w:t>exual Assault</w:t>
      </w:r>
    </w:p>
    <w:p w:rsidR="00653E6A" w:rsidRPr="00653E6A" w:rsidRDefault="00653E6A" w:rsidP="00653E6A">
      <w:pPr>
        <w:spacing w:line="480" w:lineRule="auto"/>
        <w:ind w:firstLine="720"/>
        <w:rPr>
          <w:rFonts w:cs="Times New Roman"/>
        </w:rPr>
      </w:pPr>
      <w:r w:rsidRPr="00653E6A">
        <w:rPr>
          <w:rFonts w:cs="Times New Roman"/>
        </w:rPr>
        <w:t>According to the United States Department of Justice, sexual assault is a non-consensual sexual act banned by state, tribal or federal laws. Moreover, a sexual act with vulnerable individual who lacks the capacity to make informed consent is also included as sexual harassment. Workplace sexual assault is prevalent with studies indicating that about 4-8 in 10 women face sexual harassment in their lifetime (Fitzgerald, 2017). Sexual assault poses severe implications to both the perpetrator (employer) and the victims. A victim who experiences assault undergoes a series of problems such as mental and physical health problems, lower earnings and career and interruptions. On the other hand, the employer is liable to the perils of the possible lawsuit. This essay focuses on gender and sexist stereotypes and assumptions made by professionals with regard to sexual assault.</w:t>
      </w:r>
    </w:p>
    <w:p w:rsidR="00653E6A" w:rsidRPr="00653E6A" w:rsidRDefault="00653E6A" w:rsidP="00653E6A">
      <w:pPr>
        <w:spacing w:line="480" w:lineRule="auto"/>
        <w:ind w:firstLine="720"/>
        <w:rPr>
          <w:rFonts w:cs="Times New Roman"/>
        </w:rPr>
      </w:pPr>
      <w:r w:rsidRPr="00653E6A">
        <w:rPr>
          <w:rFonts w:cs="Times New Roman"/>
        </w:rPr>
        <w:t>In relation to the Johnson family case, Talia Johnson, 19 years, was sexually assaulted by Eric after intoxication (Plummer, 2014). On the other hand, Eric was lying to his friends that the sex was consensual and Talia was pressuring him for sex. Paradoxically, despite being sexually harassed, all the blame was on the victim. When she visited a counselor, in the rape counseling center, Talia revealed that even the hospital where she had gone for post-exposure prophylaxis treated her as if she was the perpetrator of the abuse (Plummer, 2014). According to the case, the perpetrator believes that women are sexual tools and makes the assumption that they are always in need of sex. According to the Johnson family scenario, sexual assaults leave women in dangerous situations. For instance, despite the pains that Talia was undergoing, she had a few days to prepare for the exam. However, as evident in the case, the perpetrator still faces the consequences (Fitzgerald, 2017). For example, Talia feels that she should report Eric to the relevant authorities to prevent any other girl from experiencing sexual harassment.</w:t>
      </w:r>
    </w:p>
    <w:p w:rsidR="006A2CDC" w:rsidRDefault="00653E6A" w:rsidP="00653E6A">
      <w:pPr>
        <w:spacing w:line="480" w:lineRule="auto"/>
        <w:ind w:firstLine="720"/>
        <w:rPr>
          <w:rFonts w:cs="Times New Roman"/>
        </w:rPr>
      </w:pPr>
      <w:r w:rsidRPr="00653E6A">
        <w:rPr>
          <w:rFonts w:cs="Times New Roman"/>
        </w:rPr>
        <w:lastRenderedPageBreak/>
        <w:t>In conclusion, sexual harassment is rampant in most working settings. Sexual assault leaves both the perpetrator and the victim in problematic situations. The victim, however, suffers the most, both mentally and physically to the extent of losing the job. For instance, in the discussed Johnson's family case, Talia almost dropped school due to the sexual assault. On the other hand, sexual discrimination perpetrators face the consequences of their actions when sexual assault is reported to the authorities.</w:t>
      </w:r>
    </w:p>
    <w:p w:rsidR="006A2CDC" w:rsidRDefault="006A2CDC" w:rsidP="00533E2A">
      <w:pPr>
        <w:spacing w:line="480" w:lineRule="auto"/>
        <w:jc w:val="center"/>
        <w:rPr>
          <w:rFonts w:cs="Times New Roman"/>
        </w:rPr>
      </w:pPr>
    </w:p>
    <w:p w:rsidR="006A2CDC" w:rsidRDefault="006A2CDC" w:rsidP="00533E2A">
      <w:pPr>
        <w:spacing w:line="480" w:lineRule="auto"/>
        <w:jc w:val="center"/>
        <w:rPr>
          <w:rFonts w:cs="Times New Roman"/>
        </w:rPr>
      </w:pPr>
    </w:p>
    <w:p w:rsidR="006A2CDC" w:rsidRDefault="006A2CDC" w:rsidP="00533E2A">
      <w:pPr>
        <w:spacing w:line="480" w:lineRule="auto"/>
        <w:jc w:val="center"/>
        <w:rPr>
          <w:rFonts w:cs="Times New Roman"/>
        </w:rPr>
      </w:pPr>
    </w:p>
    <w:p w:rsidR="006A2CDC" w:rsidRDefault="006A2CDC" w:rsidP="00533E2A">
      <w:pPr>
        <w:spacing w:line="480" w:lineRule="auto"/>
        <w:jc w:val="center"/>
        <w:rPr>
          <w:rFonts w:cs="Times New Roman"/>
        </w:rPr>
      </w:pPr>
    </w:p>
    <w:p w:rsidR="006A2CDC" w:rsidRDefault="006A2CDC" w:rsidP="00533E2A">
      <w:pPr>
        <w:spacing w:line="480" w:lineRule="auto"/>
        <w:jc w:val="center"/>
        <w:rPr>
          <w:rFonts w:cs="Times New Roman"/>
        </w:rPr>
      </w:pPr>
    </w:p>
    <w:p w:rsidR="006A2CDC" w:rsidRDefault="006A2CDC" w:rsidP="00533E2A">
      <w:pPr>
        <w:spacing w:line="480" w:lineRule="auto"/>
        <w:jc w:val="center"/>
        <w:rPr>
          <w:rFonts w:cs="Times New Roman"/>
        </w:rPr>
      </w:pPr>
    </w:p>
    <w:p w:rsidR="006A2CDC" w:rsidRDefault="006A2CDC" w:rsidP="00533E2A">
      <w:pPr>
        <w:spacing w:line="480" w:lineRule="auto"/>
        <w:jc w:val="center"/>
        <w:rPr>
          <w:rFonts w:cs="Times New Roman"/>
        </w:rPr>
      </w:pPr>
    </w:p>
    <w:p w:rsidR="006A2CDC" w:rsidRDefault="006A2CDC" w:rsidP="00533E2A">
      <w:pPr>
        <w:spacing w:line="480" w:lineRule="auto"/>
        <w:jc w:val="center"/>
        <w:rPr>
          <w:rFonts w:cs="Times New Roman"/>
        </w:rPr>
      </w:pPr>
    </w:p>
    <w:p w:rsidR="006A2CDC" w:rsidRDefault="006A2CDC" w:rsidP="00533E2A">
      <w:pPr>
        <w:spacing w:line="480" w:lineRule="auto"/>
        <w:jc w:val="center"/>
        <w:rPr>
          <w:rFonts w:cs="Times New Roman"/>
        </w:rPr>
      </w:pPr>
    </w:p>
    <w:p w:rsidR="006A2CDC" w:rsidRDefault="006A2CDC" w:rsidP="00533E2A">
      <w:pPr>
        <w:spacing w:line="480" w:lineRule="auto"/>
        <w:jc w:val="center"/>
        <w:rPr>
          <w:rFonts w:cs="Times New Roman"/>
        </w:rPr>
      </w:pPr>
    </w:p>
    <w:p w:rsidR="006A2CDC" w:rsidRDefault="006A2CDC" w:rsidP="00533E2A">
      <w:pPr>
        <w:spacing w:line="480" w:lineRule="auto"/>
        <w:jc w:val="center"/>
        <w:rPr>
          <w:rFonts w:cs="Times New Roman"/>
        </w:rPr>
      </w:pPr>
    </w:p>
    <w:p w:rsidR="00653E6A" w:rsidRDefault="00653E6A" w:rsidP="00533E2A">
      <w:pPr>
        <w:spacing w:line="480" w:lineRule="auto"/>
        <w:jc w:val="center"/>
        <w:rPr>
          <w:rFonts w:cs="Times New Roman"/>
        </w:rPr>
      </w:pPr>
    </w:p>
    <w:p w:rsidR="00653E6A" w:rsidRDefault="00653E6A" w:rsidP="00653E6A">
      <w:pPr>
        <w:spacing w:line="480" w:lineRule="auto"/>
        <w:rPr>
          <w:rFonts w:cs="Times New Roman"/>
        </w:rPr>
      </w:pPr>
    </w:p>
    <w:p w:rsidR="002F30F0" w:rsidRDefault="002F30F0" w:rsidP="00533E2A">
      <w:pPr>
        <w:spacing w:line="480" w:lineRule="auto"/>
        <w:jc w:val="center"/>
        <w:rPr>
          <w:rFonts w:cs="Times New Roman"/>
        </w:rPr>
      </w:pPr>
      <w:r>
        <w:rPr>
          <w:rFonts w:cs="Times New Roman"/>
        </w:rPr>
        <w:lastRenderedPageBreak/>
        <w:t>References</w:t>
      </w:r>
    </w:p>
    <w:p w:rsidR="002F30F0" w:rsidRDefault="00A841B9" w:rsidP="00533E2A">
      <w:pPr>
        <w:pStyle w:val="Bibliography"/>
        <w:spacing w:line="480" w:lineRule="auto"/>
        <w:ind w:left="720" w:hanging="720"/>
        <w:rPr>
          <w:noProof/>
        </w:rPr>
      </w:pPr>
      <w:r>
        <w:rPr>
          <w:rFonts w:cs="Times New Roman"/>
        </w:rPr>
        <w:fldChar w:fldCharType="begin"/>
      </w:r>
      <w:r w:rsidR="002F30F0">
        <w:rPr>
          <w:rFonts w:cs="Times New Roman"/>
        </w:rPr>
        <w:instrText xml:space="preserve"> BIBLIOGRAPHY  \l 1033 </w:instrText>
      </w:r>
      <w:r>
        <w:rPr>
          <w:rFonts w:cs="Times New Roman"/>
        </w:rPr>
        <w:fldChar w:fldCharType="separate"/>
      </w:r>
      <w:r w:rsidR="002F30F0">
        <w:rPr>
          <w:noProof/>
        </w:rPr>
        <w:t xml:space="preserve">Fitzgerald, L. F. (2017). Sexual Harassment in Work Organizations: A View From the 21st Century. </w:t>
      </w:r>
      <w:r w:rsidR="002F30F0">
        <w:rPr>
          <w:i/>
          <w:iCs/>
          <w:noProof/>
        </w:rPr>
        <w:t>Handbook of the Psychology of Women</w:t>
      </w:r>
      <w:r w:rsidR="002F30F0">
        <w:rPr>
          <w:noProof/>
        </w:rPr>
        <w:t>.</w:t>
      </w:r>
    </w:p>
    <w:p w:rsidR="002F30F0" w:rsidRDefault="002F30F0" w:rsidP="00533E2A">
      <w:pPr>
        <w:pStyle w:val="Bibliography"/>
        <w:spacing w:line="480" w:lineRule="auto"/>
        <w:ind w:left="720" w:hanging="720"/>
        <w:rPr>
          <w:noProof/>
        </w:rPr>
      </w:pPr>
      <w:r>
        <w:rPr>
          <w:noProof/>
        </w:rPr>
        <w:t xml:space="preserve">Plummer, S. M. (2014). The Johnson Family. </w:t>
      </w:r>
      <w:r>
        <w:rPr>
          <w:i/>
          <w:iCs/>
          <w:noProof/>
        </w:rPr>
        <w:t>Sessions: Case Histories. Baltimore, MD: Laureate International Universities Publishing</w:t>
      </w:r>
      <w:r>
        <w:rPr>
          <w:noProof/>
        </w:rPr>
        <w:t>, 11.</w:t>
      </w:r>
    </w:p>
    <w:p w:rsidR="00C90FBE" w:rsidRDefault="00A841B9" w:rsidP="00533E2A">
      <w:pPr>
        <w:spacing w:line="480" w:lineRule="auto"/>
        <w:ind w:hanging="720"/>
        <w:rPr>
          <w:rFonts w:cs="Times New Roman"/>
        </w:rPr>
      </w:pPr>
      <w:r>
        <w:rPr>
          <w:rFonts w:cs="Times New Roman"/>
        </w:rPr>
        <w:fldChar w:fldCharType="end"/>
      </w:r>
    </w:p>
    <w:p w:rsidR="00C63665" w:rsidRDefault="00C63665" w:rsidP="00533E2A">
      <w:pPr>
        <w:spacing w:line="480" w:lineRule="auto"/>
        <w:rPr>
          <w:rFonts w:cs="Times New Roman"/>
        </w:rPr>
      </w:pPr>
    </w:p>
    <w:p w:rsidR="00C27338" w:rsidRPr="00DC4D90" w:rsidRDefault="00C27338" w:rsidP="00533E2A">
      <w:pPr>
        <w:spacing w:line="480" w:lineRule="auto"/>
        <w:rPr>
          <w:rFonts w:cs="Times New Roman"/>
        </w:rPr>
      </w:pPr>
    </w:p>
    <w:sectPr w:rsidR="00C27338" w:rsidRPr="00DC4D90" w:rsidSect="002F30F0">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C5284" w:rsidRDefault="004C5284" w:rsidP="002F30F0">
      <w:pPr>
        <w:spacing w:after="0" w:line="240" w:lineRule="auto"/>
      </w:pPr>
      <w:r>
        <w:separator/>
      </w:r>
    </w:p>
  </w:endnote>
  <w:endnote w:type="continuationSeparator" w:id="1">
    <w:p w:rsidR="004C5284" w:rsidRDefault="004C5284" w:rsidP="002F30F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C5284" w:rsidRDefault="004C5284" w:rsidP="002F30F0">
      <w:pPr>
        <w:spacing w:after="0" w:line="240" w:lineRule="auto"/>
      </w:pPr>
      <w:r>
        <w:separator/>
      </w:r>
    </w:p>
  </w:footnote>
  <w:footnote w:type="continuationSeparator" w:id="1">
    <w:p w:rsidR="004C5284" w:rsidRDefault="004C5284" w:rsidP="002F30F0">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30F0" w:rsidRDefault="002F30F0">
    <w:pPr>
      <w:pStyle w:val="Header"/>
      <w:jc w:val="right"/>
    </w:pPr>
    <w:r>
      <w:t xml:space="preserve">GENDER AND SEXUAL ASSAULT                                                                                            </w:t>
    </w:r>
    <w:sdt>
      <w:sdtPr>
        <w:id w:val="27221346"/>
        <w:docPartObj>
          <w:docPartGallery w:val="Page Numbers (Top of Page)"/>
          <w:docPartUnique/>
        </w:docPartObj>
      </w:sdtPr>
      <w:sdtContent>
        <w:fldSimple w:instr=" PAGE   \* MERGEFORMAT ">
          <w:r w:rsidR="00653E6A">
            <w:rPr>
              <w:noProof/>
            </w:rPr>
            <w:t>4</w:t>
          </w:r>
        </w:fldSimple>
      </w:sdtContent>
    </w:sdt>
  </w:p>
  <w:p w:rsidR="002F30F0" w:rsidRDefault="002F30F0">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30F0" w:rsidRDefault="002F30F0">
    <w:pPr>
      <w:pStyle w:val="Header"/>
      <w:jc w:val="right"/>
    </w:pPr>
    <w:r>
      <w:t xml:space="preserve">Running head: GENDER AND SEXUAL ASSAULT                                                                   </w:t>
    </w:r>
    <w:sdt>
      <w:sdtPr>
        <w:id w:val="27221237"/>
        <w:docPartObj>
          <w:docPartGallery w:val="Page Numbers (Top of Page)"/>
          <w:docPartUnique/>
        </w:docPartObj>
      </w:sdtPr>
      <w:sdtContent>
        <w:fldSimple w:instr=" PAGE   \* MERGEFORMAT ">
          <w:r w:rsidR="00653E6A">
            <w:rPr>
              <w:noProof/>
            </w:rPr>
            <w:t>1</w:t>
          </w:r>
        </w:fldSimple>
      </w:sdtContent>
    </w:sdt>
  </w:p>
  <w:p w:rsidR="002F30F0" w:rsidRDefault="002F30F0">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20"/>
  <w:displayHorizontalDrawingGridEvery w:val="2"/>
  <w:characterSpacingControl w:val="doNotCompress"/>
  <w:footnotePr>
    <w:footnote w:id="0"/>
    <w:footnote w:id="1"/>
  </w:footnotePr>
  <w:endnotePr>
    <w:endnote w:id="0"/>
    <w:endnote w:id="1"/>
  </w:endnotePr>
  <w:compat/>
  <w:rsids>
    <w:rsidRoot w:val="00DC4D90"/>
    <w:rsid w:val="001035A8"/>
    <w:rsid w:val="00266243"/>
    <w:rsid w:val="002F30F0"/>
    <w:rsid w:val="002F7403"/>
    <w:rsid w:val="003256FD"/>
    <w:rsid w:val="0035736B"/>
    <w:rsid w:val="003A7405"/>
    <w:rsid w:val="004C5284"/>
    <w:rsid w:val="00533E2A"/>
    <w:rsid w:val="00653E6A"/>
    <w:rsid w:val="006A2CDC"/>
    <w:rsid w:val="00704D96"/>
    <w:rsid w:val="00722C54"/>
    <w:rsid w:val="007954AD"/>
    <w:rsid w:val="00902D43"/>
    <w:rsid w:val="00994E35"/>
    <w:rsid w:val="009B02BC"/>
    <w:rsid w:val="00A841B9"/>
    <w:rsid w:val="00C00BDB"/>
    <w:rsid w:val="00C27338"/>
    <w:rsid w:val="00C63665"/>
    <w:rsid w:val="00C90FBE"/>
    <w:rsid w:val="00D651C4"/>
    <w:rsid w:val="00D778F3"/>
    <w:rsid w:val="00DC4D90"/>
    <w:rsid w:val="00FA6725"/>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heme="minorBidi"/>
        <w:sz w:val="24"/>
        <w:szCs w:val="22"/>
        <w:lang w:val="en-US" w:eastAsia="en-US" w:bidi="ar-SA"/>
      </w:rPr>
    </w:rPrDefault>
    <w:pPrDefault>
      <w:pPr>
        <w:spacing w:after="200" w:line="36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66243"/>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C00BD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00BDB"/>
    <w:rPr>
      <w:rFonts w:ascii="Tahoma" w:hAnsi="Tahoma" w:cs="Tahoma"/>
      <w:sz w:val="16"/>
      <w:szCs w:val="16"/>
    </w:rPr>
  </w:style>
  <w:style w:type="paragraph" w:styleId="Header">
    <w:name w:val="header"/>
    <w:basedOn w:val="Normal"/>
    <w:link w:val="HeaderChar"/>
    <w:uiPriority w:val="99"/>
    <w:unhideWhenUsed/>
    <w:rsid w:val="002F30F0"/>
    <w:pPr>
      <w:tabs>
        <w:tab w:val="center" w:pos="4680"/>
        <w:tab w:val="right" w:pos="9360"/>
      </w:tabs>
      <w:spacing w:after="0" w:line="240" w:lineRule="auto"/>
    </w:pPr>
  </w:style>
  <w:style w:type="character" w:customStyle="1" w:styleId="HeaderChar">
    <w:name w:val="Header Char"/>
    <w:basedOn w:val="DefaultParagraphFont"/>
    <w:link w:val="Header"/>
    <w:uiPriority w:val="99"/>
    <w:rsid w:val="002F30F0"/>
  </w:style>
  <w:style w:type="paragraph" w:styleId="Footer">
    <w:name w:val="footer"/>
    <w:basedOn w:val="Normal"/>
    <w:link w:val="FooterChar"/>
    <w:uiPriority w:val="99"/>
    <w:semiHidden/>
    <w:unhideWhenUsed/>
    <w:rsid w:val="002F30F0"/>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2F30F0"/>
  </w:style>
  <w:style w:type="paragraph" w:styleId="Bibliography">
    <w:name w:val="Bibliography"/>
    <w:basedOn w:val="Normal"/>
    <w:next w:val="Normal"/>
    <w:uiPriority w:val="37"/>
    <w:unhideWhenUsed/>
    <w:rsid w:val="002F30F0"/>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Sixth Edition">
  <b:Source>
    <b:Tag>Fit</b:Tag>
    <b:SourceType>JournalArticle</b:SourceType>
    <b:Guid>{5BB05A74-50F1-4B83-A9AD-CBACD8F0BE63}</b:Guid>
    <b:LCID>0</b:LCID>
    <b:Author>
      <b:Author>
        <b:NameList>
          <b:Person>
            <b:Last>Fitzgerald</b:Last>
            <b:First>Louise</b:First>
            <b:Middle>F., and Lilia, M.</b:Middle>
          </b:Person>
        </b:NameList>
      </b:Author>
    </b:Author>
    <b:Title>Sexual Harassment in Work Organizations: A View From the 21st Century</b:Title>
    <b:JournalName>Handbook of the Psychology of Women</b:JournalName>
    <b:Year>2017</b:Year>
    <b:RefOrder>1</b:RefOrder>
  </b:Source>
  <b:Source>
    <b:Tag>Plu14</b:Tag>
    <b:SourceType>JournalArticle</b:SourceType>
    <b:Guid>{02BA5C1C-15A5-4F50-B867-949201B72029}</b:Guid>
    <b:LCID>0</b:LCID>
    <b:Author>
      <b:Author>
        <b:NameList>
          <b:Person>
            <b:Last>Plummer</b:Last>
            <b:First>S.,</b:First>
            <b:Middle>Makris,S. &amp; Broksen S.</b:Middle>
          </b:Person>
        </b:NameList>
      </b:Author>
    </b:Author>
    <b:Title>The Johnson Family</b:Title>
    <b:JournalName>Sessions: Case Histories. Baltimore, MD: Laureate International Universities Publishing</b:JournalName>
    <b:Year>2014</b:Year>
    <b:Pages>11</b:Pages>
    <b:RefOrder>2</b:RefOrder>
  </b:Source>
</b:Sources>
</file>

<file path=customXml/itemProps1.xml><?xml version="1.0" encoding="utf-8"?>
<ds:datastoreItem xmlns:ds="http://schemas.openxmlformats.org/officeDocument/2006/customXml" ds:itemID="{7035CBFC-D6A0-4A3C-A951-51EEF69B28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4</Pages>
  <Words>436</Words>
  <Characters>2487</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CHATIMO</dc:creator>
  <cp:lastModifiedBy>ADM</cp:lastModifiedBy>
  <cp:revision>5</cp:revision>
  <dcterms:created xsi:type="dcterms:W3CDTF">2019-03-11T17:54:00Z</dcterms:created>
  <dcterms:modified xsi:type="dcterms:W3CDTF">2019-03-11T18:10:00Z</dcterms:modified>
</cp:coreProperties>
</file>